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E" w:rsidRDefault="000F430E" w:rsidP="000F430E">
      <w:pPr>
        <w:pStyle w:val="3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Оформление папок по педагогическим технологиям для аттестации</w:t>
      </w:r>
    </w:p>
    <w:p w:rsidR="000F430E" w:rsidRDefault="000F430E" w:rsidP="000F430E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30E" w:rsidRDefault="000F430E" w:rsidP="000F430E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рименение педагогических технологий становится во главу угла в реализации образовательно-воспитательного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ДО. Напоминаю, что каждый педагог должен обязательно владеть двумя универсальными технологиями: личностно-ориентированными и оздоровительными. Проблемно-поисковыми технологиями, информационно-коммуникационными и проектными технологиями, которые также относятся к универсальным педагогическим технологиям, можно пользоваться, исходя из направленности деятельности педагога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узконаправленные технологии, которые также используются педагогами, указывать со ссылкой на авторство. По каждой технологии, которую использует педагог, необходимо теперь собирать папку к аттестации.</w:t>
      </w:r>
    </w:p>
    <w:p w:rsidR="000F430E" w:rsidRDefault="000F430E" w:rsidP="000F430E">
      <w:pPr>
        <w:pStyle w:val="3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 подготовке к аттестации на 1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категории, теперь необходимо собрать следующие материалы: </w:t>
      </w:r>
    </w:p>
    <w:p w:rsidR="000F430E" w:rsidRDefault="000F430E" w:rsidP="000F430E">
      <w:pPr>
        <w:pStyle w:val="3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  <w:r>
        <w:rPr>
          <w:rFonts w:ascii="Times New Roman" w:hAnsi="Times New Roman" w:cs="Times New Roman"/>
          <w:sz w:val="24"/>
          <w:szCs w:val="24"/>
        </w:rPr>
        <w:t xml:space="preserve"> (разделы портфолио должны соответствовать разделам аттестационного заключения) – обязательно</w:t>
      </w:r>
    </w:p>
    <w:p w:rsidR="000F430E" w:rsidRDefault="000F430E" w:rsidP="000F430E">
      <w:pPr>
        <w:pStyle w:val="3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30E" w:rsidRDefault="000F430E" w:rsidP="000F430E">
      <w:pPr>
        <w:pStyle w:val="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Папка по применению личностно-ориентированных технологий (обязательно)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материал, в котором описывается актуальность и значение личностно-ориентированных технологий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дня, подтверждающий, что достаточно уделяется времени играм и свободной деятельности воспитанников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деятельности педагога с воспитанниками (кружковая работа, конспекты интегративных занятий и развлечений)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 (конспекты наблюдений, экскурсий, целевых прогулок, экспериментов, рассказов, дискуссий и т.д.)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с детьми (ведение личных карт развития  и т.д.)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пространственной предметно-развивающей среды, способствующей личностному развитию дошкольников (центры развития, доступность игрового материала, достаточное кол-во игрушек и т.д.). Можно представить в виде фотографий с комментариями. </w:t>
      </w:r>
    </w:p>
    <w:p w:rsidR="000F430E" w:rsidRDefault="000F430E" w:rsidP="000F430E">
      <w:pPr>
        <w:pStyle w:val="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Папка по применению оздоровительных технологий (обязательно)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Теоретический материал, в котором описывается актуальность и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дня, подтверждающий, что виды детской деятельности организованы в течение дня таким образом, что обеспечивается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пребывания ребенка в детском саду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(конспекты):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гимнастика, корригирующая, зрительная, пальчиковая и после сна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разгрузка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НОД по ЗОЖ (если есть)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праздников и развлечений на тему ЗОЖ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спортивных праздников и развлечений, в том числе с привлечением родителей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мероприятий с родителями, посвященные теме ЗОЖ и т.д.</w:t>
      </w:r>
    </w:p>
    <w:p w:rsidR="000F430E" w:rsidRDefault="000F430E" w:rsidP="000F430E">
      <w:pPr>
        <w:pStyle w:val="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Папка по применению ИКТ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материал, в котором описывается актуальность и значение ИКТ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НОД с применением ИКТ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Мультимедийные презентации 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Слайд-шоу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Видеофильмы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мероприятий с родителями (с использованием ИКТ)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педагога с мультимедийными презентациями</w:t>
      </w:r>
    </w:p>
    <w:p w:rsidR="000F430E" w:rsidRDefault="000F430E" w:rsidP="000F430E">
      <w:pPr>
        <w:pStyle w:val="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Папка по применению узконаправленной технологии</w:t>
      </w:r>
    </w:p>
    <w:p w:rsidR="000F430E" w:rsidRDefault="000F430E" w:rsidP="000F430E">
      <w:pPr>
        <w:pStyle w:val="3"/>
        <w:numPr>
          <w:ilvl w:val="1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НОД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режимных моментах по темам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коплексно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-тематического плана ДОУ (не только план, но и все конспекты бесед, наблюдений, экскурсий и т.д.)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 (критерии, материалы) с описанием и выводами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Сценарии мероприятий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использованием данной технологии)</w:t>
      </w:r>
    </w:p>
    <w:p w:rsidR="000F430E" w:rsidRDefault="000F430E" w:rsidP="000F430E">
      <w:pPr>
        <w:pStyle w:val="3"/>
        <w:numPr>
          <w:ilvl w:val="2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педагога на педсоветах, ГМО, ШПО по распространению опыта работы по данной технологии</w:t>
      </w:r>
    </w:p>
    <w:p w:rsidR="000F430E" w:rsidRDefault="000F430E" w:rsidP="000F430E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материалы должны сопровождаться аналитическими выводами, доказывающими применение именно этой составляющей технологии.</w:t>
      </w:r>
    </w:p>
    <w:p w:rsidR="000F430E" w:rsidRDefault="000F430E" w:rsidP="000F430E">
      <w:pPr>
        <w:pStyle w:val="3"/>
        <w:shd w:val="clear" w:color="auto" w:fill="auto"/>
        <w:spacing w:line="276" w:lineRule="auto"/>
        <w:ind w:left="25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CD" w:rsidRDefault="007C79CD"/>
    <w:sectPr w:rsidR="007C79CD" w:rsidSect="000F43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6A33"/>
    <w:multiLevelType w:val="hybridMultilevel"/>
    <w:tmpl w:val="52749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ED"/>
    <w:rsid w:val="000F430E"/>
    <w:rsid w:val="007C79CD"/>
    <w:rsid w:val="00A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F430E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3"/>
    <w:rsid w:val="000F430E"/>
    <w:pPr>
      <w:shd w:val="clear" w:color="auto" w:fill="FFFFFF"/>
      <w:spacing w:line="230" w:lineRule="exact"/>
      <w:ind w:hanging="480"/>
      <w:jc w:val="right"/>
    </w:pPr>
    <w:rPr>
      <w:rFonts w:ascii="Palatino Linotype" w:eastAsia="Palatino Linotype" w:hAnsi="Palatino Linotype" w:cs="Palatino Linotype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F430E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3"/>
    <w:rsid w:val="000F430E"/>
    <w:pPr>
      <w:shd w:val="clear" w:color="auto" w:fill="FFFFFF"/>
      <w:spacing w:line="230" w:lineRule="exact"/>
      <w:ind w:hanging="480"/>
      <w:jc w:val="right"/>
    </w:pPr>
    <w:rPr>
      <w:rFonts w:ascii="Palatino Linotype" w:eastAsia="Palatino Linotype" w:hAnsi="Palatino Linotype" w:cs="Palatino Linotype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2013-11-02T19:35:00Z</dcterms:created>
  <dcterms:modified xsi:type="dcterms:W3CDTF">2013-11-02T19:37:00Z</dcterms:modified>
</cp:coreProperties>
</file>